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 Mangum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death-by-suicide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Advertisement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Pfizer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Furlong.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 Mangum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 Furlong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 Mangum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Wichita,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Kansas,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 Furlong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post-anesthesia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dysmenorrhea?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 Mangum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dysmenorrhea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dysmenorrhea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dysmenorrhea?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 Furlong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dysmenorrhea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dysmenorrhea,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 Furlong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dysmenorrhea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first-line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NSAIDs.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prostaglandin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NSAIDs.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NSAIDs,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dysmenorrhea?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 Mangum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cramps.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cramping,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cramping,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 Furlong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ibuprofen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acetaminophen,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dysmenorrhea,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 Mangum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dysmenorrhea.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over-the-counter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 Furlong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follow-up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 Furlong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non-pharmacological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NSAIDs,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 Mangum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endocrinologist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 Furlong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diarrhea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nausea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vomiting,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NSAID's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 Mangum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brochure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up-to-date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 Mangum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Dawnyel Furlong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Advertisement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unbranded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irregularities.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Pfizer,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Endo  podcast (Completed  03/10/23)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10,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OrQX73Il8enR1S5SnmcLAfgnC0AtKFT4HFP7M-JyxUWuMs1vbr8n396mDkB9OZxo_dYaFHEkXdMcklPaR_4bNne89t0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